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3165" w:rsidRDefault="006F3165" w:rsidP="00FF418E">
      <w:pPr>
        <w:pStyle w:val="1"/>
        <w:spacing w:after="240"/>
      </w:pPr>
      <w:r w:rsidRPr="006F3165">
        <w:t>Сколько стоит жить в Гонконге?</w:t>
      </w:r>
    </w:p>
    <w:p w:rsidR="00562FCB" w:rsidRDefault="00E44605" w:rsidP="00FF418E">
      <w:pPr>
        <w:spacing w:after="240"/>
      </w:pPr>
      <w:r>
        <w:t xml:space="preserve">Гонконг сегодня – это идеально приспособленное место для динамичной и интересной жизни, работы и учебы, поэтому </w:t>
      </w:r>
      <w:r w:rsidR="00562FCB">
        <w:t xml:space="preserve">с каждым </w:t>
      </w:r>
      <w:bookmarkStart w:id="0" w:name="_GoBack"/>
      <w:bookmarkEnd w:id="0"/>
      <w:r w:rsidR="00562FCB">
        <w:t xml:space="preserve">годом иностранцев здесь становится все больше. </w:t>
      </w:r>
    </w:p>
    <w:p w:rsidR="00562FCB" w:rsidRDefault="00562FCB" w:rsidP="00FF418E">
      <w:pPr>
        <w:spacing w:after="240"/>
      </w:pPr>
      <w:r>
        <w:t xml:space="preserve">Как правило, в Гонконг переезжают, чтобы заниматься бизнесом, учиться или работать в крупных компаниях. Город привлекает новых жителей за счет высокого уровня жизни, отличного сервиса и инфраструктуры, а также высокого уровня культуры местного населения. Кроме того, Гонконг является перспективным и быстроразвивающимся городом, жить в котором обязательно понравится амбициозным и молодым людям. </w:t>
      </w:r>
    </w:p>
    <w:p w:rsidR="00562FCB" w:rsidRDefault="00562FCB" w:rsidP="00FF418E">
      <w:pPr>
        <w:spacing w:after="240"/>
      </w:pPr>
      <w:r>
        <w:t>Несмотря на это, имеется также один недостаток – высокая стоимость проживания для иностранцев. В Гонконге рынок недвижимости имеет огромные размеры, поэтому</w:t>
      </w:r>
      <w:r w:rsidR="00C63C8C">
        <w:t>,</w:t>
      </w:r>
      <w:r>
        <w:t xml:space="preserve"> чтобы найти хорошее жилье, необходимо приложить немало усилий. Также большинство товаров и про</w:t>
      </w:r>
      <w:r w:rsidR="00C63C8C">
        <w:t>дуктов являются импортными</w:t>
      </w:r>
      <w:r>
        <w:t xml:space="preserve">, поэтому достаточно дорогие. Но, за счет высоких заработных плат, многим кажется, что качество ихней жизни в Гонконге все равно лучше, чем было бы дома. </w:t>
      </w:r>
    </w:p>
    <w:p w:rsidR="00562FCB" w:rsidRDefault="00562FCB" w:rsidP="00FF418E">
      <w:pPr>
        <w:pStyle w:val="2"/>
        <w:spacing w:after="240"/>
      </w:pPr>
      <w:r>
        <w:t>Стоимость жилья в Гонконге</w:t>
      </w:r>
    </w:p>
    <w:p w:rsidR="00A00059" w:rsidRDefault="004214D6" w:rsidP="00FF418E">
      <w:pPr>
        <w:spacing w:after="240"/>
      </w:pPr>
      <w:r>
        <w:t>Арендовать жилье в Гонконге достаточно легко, но цены на аренду, а тем более н</w:t>
      </w:r>
      <w:r w:rsidR="00C63C8C">
        <w:t>а покупку</w:t>
      </w:r>
      <w:r>
        <w:t xml:space="preserve"> недвижимости высоки. Такая ситуация складывается потому, что </w:t>
      </w:r>
      <w:r w:rsidR="00A00059">
        <w:t xml:space="preserve">небольшая территория города приводит к дефициту свободной площади, из-за чего и повышается стоимость жилья. </w:t>
      </w:r>
    </w:p>
    <w:p w:rsidR="00BC02D4" w:rsidRDefault="00A00059" w:rsidP="00FF418E">
      <w:pPr>
        <w:spacing w:after="240"/>
      </w:pPr>
      <w:r>
        <w:t xml:space="preserve">Цена аренды квартиры зависит от ее размера, местоположения и качества, а также от наличия необходимой инфраструктуры и потенциальных соседей. Таким образом маленькую комнатку с узенькими кроватями можно снять за 40-50 американских долларов. Хороший номер с видом будут стоить минимум 100 американских долларов, а в выходные еще дороже на 10-20 процентов. Самым бюджетным вариантов являются квартиры-студии. Стоит отметить, что на сайтах онлайн-бронирования фотографии </w:t>
      </w:r>
      <w:r w:rsidR="00C63C8C">
        <w:t xml:space="preserve">квартир </w:t>
      </w:r>
      <w:r>
        <w:t xml:space="preserve">периодически могут не соответствовать действительности. Если на сайте видите шикарную комнату за 50 долларов – это обман. </w:t>
      </w:r>
    </w:p>
    <w:p w:rsidR="00C840BC" w:rsidRDefault="00BC02D4" w:rsidP="00FF418E">
      <w:pPr>
        <w:spacing w:after="240"/>
      </w:pPr>
      <w:r>
        <w:t xml:space="preserve">Самыми дешевыми для покупки являются крошечные старые квартирки в китайском стиле, но в них, как обычно, всегда мало пространства, что часто не нравится приезжим. </w:t>
      </w:r>
    </w:p>
    <w:p w:rsidR="00C840BC" w:rsidRDefault="00C840BC" w:rsidP="00FF418E">
      <w:pPr>
        <w:pStyle w:val="2"/>
        <w:spacing w:after="240"/>
      </w:pPr>
      <w:r>
        <w:t>Стоимость общественного транспорта в Гонконге</w:t>
      </w:r>
    </w:p>
    <w:p w:rsidR="002026C5" w:rsidRDefault="00C840BC" w:rsidP="00FF418E">
      <w:pPr>
        <w:spacing w:after="240"/>
      </w:pPr>
      <w:r>
        <w:t xml:space="preserve">Общественный транспорт в городе надежный, чистый и дешевый. А вот содержание автомобиля обойдется очень дорого. </w:t>
      </w:r>
      <w:r w:rsidR="00A06C6D">
        <w:t xml:space="preserve">Большинство людей, которые проживают в центре города, не считают необходимым приобретать автомобиль за счет низкой стоимость общественного транспорта и большого количества беспорядочных таксистов. Такси также недорогое – минимальный тариф составит 22 гонконгских доллара, а большинство поездок в пределах центрального Гонконга обойдется не более 100 гонконгских доллара. </w:t>
      </w:r>
    </w:p>
    <w:p w:rsidR="002026C5" w:rsidRDefault="002026C5" w:rsidP="00FF418E">
      <w:pPr>
        <w:pStyle w:val="2"/>
        <w:spacing w:after="240"/>
      </w:pPr>
      <w:r>
        <w:t>Стоимость обучения в Гонконге</w:t>
      </w:r>
    </w:p>
    <w:p w:rsidR="00437AEB" w:rsidRDefault="002026C5" w:rsidP="00FF418E">
      <w:pPr>
        <w:spacing w:after="240"/>
      </w:pPr>
      <w:r>
        <w:t>Образование в государственных школах бесплатное, но зачастую большинство приезжих отдают своих детей в частные международные школы с обучение на английском языке по европейским программам обучения. Обучение в них может обойтись очень дорого, поэтому вначале родителям стоит убедиться, сможет ли их заработная плата покрывать расходы на такую школу.</w:t>
      </w:r>
    </w:p>
    <w:p w:rsidR="0089316B" w:rsidRDefault="0089316B" w:rsidP="00FF418E">
      <w:pPr>
        <w:pStyle w:val="2"/>
        <w:spacing w:after="240"/>
      </w:pPr>
      <w:r>
        <w:lastRenderedPageBreak/>
        <w:t>Медицина в Гонконге</w:t>
      </w:r>
    </w:p>
    <w:p w:rsidR="0089316B" w:rsidRDefault="0089316B" w:rsidP="00FF418E">
      <w:pPr>
        <w:spacing w:after="240"/>
      </w:pPr>
      <w:r>
        <w:t>Уровень обслуживания в с</w:t>
      </w:r>
      <w:r w:rsidR="00C63C8C">
        <w:t>ф</w:t>
      </w:r>
      <w:r>
        <w:t xml:space="preserve">ере здравоохранения, доступ к качественной медицинской помощи, а также использование новых технологий в Гонконге не уступает западным странам. Предоставление медицинских услуг контролирует Отдел по управлению больницами. </w:t>
      </w:r>
    </w:p>
    <w:p w:rsidR="0089316B" w:rsidRDefault="0089316B" w:rsidP="00FF418E">
      <w:pPr>
        <w:spacing w:after="240"/>
      </w:pPr>
    </w:p>
    <w:p w:rsidR="0089316B" w:rsidRDefault="0089316B" w:rsidP="00FF418E">
      <w:pPr>
        <w:spacing w:after="240"/>
      </w:pPr>
      <w:r>
        <w:t>Медицинская инфраструктура в городе является смешанной – в Гонконге находится приблизительно 44 государственных и 13 частных медицинских учреждений. И</w:t>
      </w:r>
      <w:r w:rsidR="002D4186">
        <w:t>мею</w:t>
      </w:r>
      <w:r>
        <w:t xml:space="preserve">тся поликлиники, предлагающие услуги первичной медицинской помощи, в том числе стоматологию. </w:t>
      </w:r>
    </w:p>
    <w:p w:rsidR="00C82112" w:rsidRDefault="0089316B" w:rsidP="00FF418E">
      <w:pPr>
        <w:spacing w:after="240"/>
      </w:pPr>
      <w:r>
        <w:t xml:space="preserve">Здравоохранение разделяет на три вида: первичное, которое включает в себя общую практику от кашля до прививки, вторичное, то есть лечебно-профилактическое, и третичное, включающее лечение заболеваний, требующих продолжительной госпитализации и последующей реабилитации. Зачастую частные больницы занимаются только первичной и вторичной медицинской помощью, а государственные охватывают все три. </w:t>
      </w:r>
      <w:r w:rsidR="00C82112">
        <w:t>Существуют также клиники, которые специализируются только на лечении определенных заболеваний или, к примеру, оказывают медицинскую помощь при хронических состояниях.</w:t>
      </w:r>
    </w:p>
    <w:p w:rsidR="00FD4753" w:rsidRDefault="00D849B4" w:rsidP="00FF418E">
      <w:pPr>
        <w:spacing w:after="240"/>
      </w:pPr>
      <w:r>
        <w:t xml:space="preserve">Большинство медицинских услуг субсидируется, чтобы они были доступными </w:t>
      </w:r>
      <w:r w:rsidR="00FD4753">
        <w:t xml:space="preserve">для тех, кто не может позволить себе платить, находится на пенсии или слишком болен, чтобы зарабатывать. </w:t>
      </w:r>
    </w:p>
    <w:p w:rsidR="002E2864" w:rsidRDefault="00FD4753" w:rsidP="00FF418E">
      <w:pPr>
        <w:spacing w:after="240"/>
      </w:pPr>
      <w:r>
        <w:t xml:space="preserve">Некоторые пациенты жалуются на долгое ожидание в очередях, плохое питание и недостаточное внимание в больницах. На самом деле, хотя медицинские стандарты высоки, государственные больницы ориентированы на максимальную эффективность, поэтому рассчитывать на максимальный сервис не стоит. </w:t>
      </w:r>
    </w:p>
    <w:p w:rsidR="002E2864" w:rsidRDefault="002E2864" w:rsidP="00FF418E">
      <w:pPr>
        <w:pStyle w:val="2"/>
        <w:spacing w:after="240"/>
      </w:pPr>
      <w:r>
        <w:t>Стоимость питания в Гонконге</w:t>
      </w:r>
    </w:p>
    <w:p w:rsidR="00EA58ED" w:rsidRDefault="00EA58ED" w:rsidP="00FF418E">
      <w:pPr>
        <w:spacing w:after="240"/>
      </w:pPr>
      <w:r>
        <w:t xml:space="preserve">Ценовая политика в городе ориентирована в основном на высокооплачиваемых работников и предпринимателей, которые могут позволить себе платить высокие суммы. </w:t>
      </w:r>
    </w:p>
    <w:p w:rsidR="00EA58ED" w:rsidRDefault="00EA58ED" w:rsidP="00FF418E">
      <w:pPr>
        <w:spacing w:after="240"/>
      </w:pPr>
      <w:r>
        <w:t>Но б</w:t>
      </w:r>
      <w:r w:rsidR="002E2864">
        <w:t>лагодаря близости к Китаю, в Гонконге можно найти много недорогих вещей. Одежда</w:t>
      </w:r>
      <w:r w:rsidR="00B92F89">
        <w:t xml:space="preserve"> и</w:t>
      </w:r>
      <w:r w:rsidR="002E2864">
        <w:t xml:space="preserve"> хозяйственные товары, </w:t>
      </w:r>
      <w:r>
        <w:t xml:space="preserve">привезенные из Китая, достаточно доступны. Также из Китая поставляется много свежих продуктов питания, которые можно приобрести на местных рынках. Но многие приезжие не желают покупать продукты на местных рынках, учитывая сомнительные методы ведения сельского хозяйства и использование химических добавок. </w:t>
      </w:r>
    </w:p>
    <w:p w:rsidR="00EA58ED" w:rsidRDefault="00EA58ED" w:rsidP="00FF418E">
      <w:pPr>
        <w:spacing w:after="240"/>
      </w:pPr>
      <w:r>
        <w:t xml:space="preserve">В супермаркетах Гонконга всегда в изобилии можно найти продукты, привезенные с западных стран. Стоимость продуктов питания напрямую зависит от местонахождения магазина. Таким образом, в туристическом и деловом центре цены немного выше, чем в жилых районах. </w:t>
      </w:r>
    </w:p>
    <w:p w:rsidR="00EA58ED" w:rsidRDefault="00EA58ED" w:rsidP="00FF418E">
      <w:pPr>
        <w:spacing w:after="240"/>
      </w:pPr>
      <w:r>
        <w:t>Уличная еда в Гонконге, в отличии от Китая, практически отсутствует. В некоторых местах еще можно найти маленькие магазинчики с недорогой лапшой, но надписи в таких магазинах делаются исключительно на традиционном китайском языке, который очень сложен для понимания.</w:t>
      </w:r>
    </w:p>
    <w:p w:rsidR="00F96163" w:rsidRDefault="00F96163" w:rsidP="00FF418E">
      <w:pPr>
        <w:spacing w:after="240"/>
      </w:pPr>
      <w:r>
        <w:t>Чтобы питаться вкусно и недорого, можно:</w:t>
      </w:r>
    </w:p>
    <w:p w:rsidR="00F96163" w:rsidRDefault="00F96163" w:rsidP="00FF418E">
      <w:pPr>
        <w:spacing w:after="240"/>
        <w:rPr>
          <w:rFonts w:ascii="Cambria Math" w:hAnsi="Cambria Math"/>
        </w:rPr>
      </w:pPr>
      <w:r>
        <w:rPr>
          <w:rFonts w:ascii="Cambria Math" w:hAnsi="Cambria Math"/>
        </w:rPr>
        <w:lastRenderedPageBreak/>
        <w:t xml:space="preserve">⦁ Завтракать в традиционных гонконгских столовых, которых особенно много на </w:t>
      </w:r>
      <w:proofErr w:type="spellStart"/>
      <w:r>
        <w:rPr>
          <w:rFonts w:ascii="Cambria Math" w:hAnsi="Cambria Math"/>
        </w:rPr>
        <w:t>Коулуне</w:t>
      </w:r>
      <w:proofErr w:type="spellEnd"/>
      <w:r>
        <w:rPr>
          <w:rFonts w:ascii="Cambria Math" w:hAnsi="Cambria Math"/>
        </w:rPr>
        <w:t>. Чаще всего завтрак там подразумевает суп с ветчиной или колбасой, яичницу, подсушенную булочку и кофе. Стоимость такого завтрака составляет 30-40 гонконгских долларов.</w:t>
      </w:r>
    </w:p>
    <w:p w:rsidR="00B81BB0" w:rsidRDefault="00F96163" w:rsidP="00FF418E">
      <w:pPr>
        <w:spacing w:after="240"/>
        <w:rPr>
          <w:rFonts w:ascii="Cambria Math" w:hAnsi="Cambria Math"/>
        </w:rPr>
      </w:pPr>
      <w:r>
        <w:rPr>
          <w:rFonts w:ascii="Cambria Math" w:hAnsi="Cambria Math"/>
        </w:rPr>
        <w:t xml:space="preserve">⦁ </w:t>
      </w:r>
      <w:r w:rsidR="00B81BB0">
        <w:rPr>
          <w:rFonts w:ascii="Cambria Math" w:hAnsi="Cambria Math"/>
        </w:rPr>
        <w:t xml:space="preserve">Обедать </w:t>
      </w:r>
      <w:proofErr w:type="gramStart"/>
      <w:r w:rsidR="00B81BB0">
        <w:rPr>
          <w:rFonts w:ascii="Cambria Math" w:hAnsi="Cambria Math"/>
        </w:rPr>
        <w:t>во время</w:t>
      </w:r>
      <w:proofErr w:type="gramEnd"/>
      <w:r w:rsidR="00B81BB0">
        <w:rPr>
          <w:rFonts w:ascii="Cambria Math" w:hAnsi="Cambria Math"/>
        </w:rPr>
        <w:t xml:space="preserve"> бизнес-</w:t>
      </w:r>
      <w:proofErr w:type="spellStart"/>
      <w:r w:rsidR="00B81BB0">
        <w:rPr>
          <w:rFonts w:ascii="Cambria Math" w:hAnsi="Cambria Math"/>
        </w:rPr>
        <w:t>ланчей</w:t>
      </w:r>
      <w:proofErr w:type="spellEnd"/>
      <w:r w:rsidR="00B81BB0">
        <w:rPr>
          <w:rFonts w:ascii="Cambria Math" w:hAnsi="Cambria Math"/>
        </w:rPr>
        <w:t xml:space="preserve">. В среднем они стоят от 50 до 80 гонконгских долларов в зависимости от набора блюд и места. </w:t>
      </w:r>
    </w:p>
    <w:p w:rsidR="00B81BB0" w:rsidRDefault="00F96163" w:rsidP="00FF418E">
      <w:pPr>
        <w:spacing w:after="240"/>
        <w:rPr>
          <w:rFonts w:ascii="Cambria Math" w:hAnsi="Cambria Math"/>
        </w:rPr>
      </w:pPr>
      <w:r>
        <w:rPr>
          <w:rFonts w:ascii="Cambria Math" w:hAnsi="Cambria Math"/>
        </w:rPr>
        <w:t>⦁</w:t>
      </w:r>
      <w:r w:rsidR="00B81BB0">
        <w:rPr>
          <w:rFonts w:ascii="Cambria Math" w:hAnsi="Cambria Math"/>
        </w:rPr>
        <w:t xml:space="preserve"> Посещать </w:t>
      </w:r>
      <w:proofErr w:type="spellStart"/>
      <w:r w:rsidR="00B81BB0">
        <w:rPr>
          <w:rFonts w:ascii="Cambria Math" w:hAnsi="Cambria Math"/>
        </w:rPr>
        <w:t>фудкорты</w:t>
      </w:r>
      <w:proofErr w:type="spellEnd"/>
      <w:r w:rsidR="00B81BB0">
        <w:rPr>
          <w:rFonts w:ascii="Cambria Math" w:hAnsi="Cambria Math"/>
        </w:rPr>
        <w:t xml:space="preserve"> в торговых центрах, которых в городе очень много. </w:t>
      </w:r>
    </w:p>
    <w:p w:rsidR="00F96163" w:rsidRDefault="00F96163" w:rsidP="00FF418E">
      <w:pPr>
        <w:spacing w:after="240"/>
        <w:rPr>
          <w:rFonts w:ascii="Cambria Math" w:hAnsi="Cambria Math"/>
        </w:rPr>
      </w:pPr>
      <w:r>
        <w:rPr>
          <w:rFonts w:ascii="Cambria Math" w:hAnsi="Cambria Math"/>
        </w:rPr>
        <w:t>⦁</w:t>
      </w:r>
      <w:r w:rsidR="00B81BB0">
        <w:rPr>
          <w:rFonts w:ascii="Cambria Math" w:hAnsi="Cambria Math"/>
        </w:rPr>
        <w:t xml:space="preserve"> Ужинать в ресторанчиках с простым интерьером под брезентом. Китайская лапша с мясом в них буде стоить от 30 до 40 гонконгских долларов.</w:t>
      </w:r>
    </w:p>
    <w:p w:rsidR="00834AAE" w:rsidRDefault="00834AAE" w:rsidP="00FF418E">
      <w:pPr>
        <w:spacing w:after="240"/>
        <w:rPr>
          <w:rFonts w:ascii="Cambria Math" w:hAnsi="Cambria Math"/>
        </w:rPr>
      </w:pPr>
      <w:r>
        <w:rPr>
          <w:rFonts w:ascii="Cambria Math" w:hAnsi="Cambria Math"/>
        </w:rPr>
        <w:t>Средняя стоимость продуктов питания такая:</w:t>
      </w:r>
    </w:p>
    <w:p w:rsidR="00834AAE" w:rsidRDefault="00834AAE" w:rsidP="00FF418E">
      <w:pPr>
        <w:spacing w:after="240"/>
        <w:rPr>
          <w:rFonts w:ascii="Cambria Math" w:hAnsi="Cambria Math"/>
        </w:rPr>
      </w:pPr>
      <w:r>
        <w:rPr>
          <w:rFonts w:ascii="Cambria Math" w:hAnsi="Cambria Math"/>
        </w:rPr>
        <w:t>Сыр (1 кг) – от 1000 до 1500 рублей;</w:t>
      </w:r>
    </w:p>
    <w:p w:rsidR="00834AAE" w:rsidRDefault="00834AAE" w:rsidP="00FF418E">
      <w:pPr>
        <w:spacing w:after="240"/>
        <w:rPr>
          <w:rFonts w:ascii="Cambria Math" w:hAnsi="Cambria Math"/>
        </w:rPr>
      </w:pPr>
      <w:r>
        <w:rPr>
          <w:rFonts w:ascii="Cambria Math" w:hAnsi="Cambria Math"/>
        </w:rPr>
        <w:t>Яблоки (1 кг) – 30 рублей;</w:t>
      </w:r>
    </w:p>
    <w:p w:rsidR="00834AAE" w:rsidRDefault="00834AAE" w:rsidP="00FF418E">
      <w:pPr>
        <w:spacing w:after="240"/>
        <w:rPr>
          <w:rFonts w:ascii="Cambria Math" w:hAnsi="Cambria Math"/>
        </w:rPr>
      </w:pPr>
      <w:r>
        <w:rPr>
          <w:rFonts w:ascii="Cambria Math" w:hAnsi="Cambria Math"/>
        </w:rPr>
        <w:t>Упаковка яиц (8 штук) – 200 рублей;</w:t>
      </w:r>
    </w:p>
    <w:p w:rsidR="00834AAE" w:rsidRDefault="00834AAE" w:rsidP="00FF418E">
      <w:pPr>
        <w:spacing w:after="240"/>
        <w:rPr>
          <w:rFonts w:ascii="Cambria Math" w:hAnsi="Cambria Math"/>
        </w:rPr>
      </w:pPr>
      <w:r>
        <w:rPr>
          <w:rFonts w:ascii="Cambria Math" w:hAnsi="Cambria Math"/>
        </w:rPr>
        <w:t>Ветчина (1 кг) – 1000 рублей;</w:t>
      </w:r>
    </w:p>
    <w:p w:rsidR="00834AAE" w:rsidRDefault="00834AAE" w:rsidP="00FF418E">
      <w:pPr>
        <w:spacing w:after="240"/>
        <w:rPr>
          <w:rFonts w:ascii="Cambria Math" w:hAnsi="Cambria Math"/>
        </w:rPr>
      </w:pPr>
      <w:r>
        <w:rPr>
          <w:rFonts w:ascii="Cambria Math" w:hAnsi="Cambria Math"/>
        </w:rPr>
        <w:t>Тунец (1 кг) – 1500 рублей;</w:t>
      </w:r>
    </w:p>
    <w:p w:rsidR="00834AAE" w:rsidRDefault="00834AAE" w:rsidP="00FF418E">
      <w:pPr>
        <w:spacing w:after="240"/>
        <w:rPr>
          <w:rFonts w:ascii="Cambria Math" w:hAnsi="Cambria Math"/>
        </w:rPr>
      </w:pPr>
      <w:r>
        <w:rPr>
          <w:rFonts w:ascii="Cambria Math" w:hAnsi="Cambria Math"/>
        </w:rPr>
        <w:t>Картофель (1 кг) – 180 рублей.</w:t>
      </w:r>
    </w:p>
    <w:p w:rsidR="00B81BB0" w:rsidRDefault="00834AAE" w:rsidP="00FF418E">
      <w:pPr>
        <w:spacing w:after="240"/>
        <w:rPr>
          <w:rFonts w:ascii="Cambria Math" w:hAnsi="Cambria Math"/>
        </w:rPr>
      </w:pPr>
      <w:r>
        <w:rPr>
          <w:rFonts w:ascii="Cambria Math" w:hAnsi="Cambria Math"/>
        </w:rPr>
        <w:t xml:space="preserve">Стоимость еды и напитков в ресторанах и барах западного стиля в большинстве случаев достаточно высокая. </w:t>
      </w:r>
    </w:p>
    <w:p w:rsidR="00834AAE" w:rsidRDefault="00834AAE" w:rsidP="00FF418E">
      <w:pPr>
        <w:pStyle w:val="2"/>
        <w:spacing w:after="240"/>
      </w:pPr>
      <w:r>
        <w:t>Налог на прибыль в Гонконге</w:t>
      </w:r>
    </w:p>
    <w:p w:rsidR="00834AAE" w:rsidRDefault="00834AAE" w:rsidP="00FF418E">
      <w:pPr>
        <w:spacing w:after="240"/>
        <w:rPr>
          <w:rFonts w:ascii="Cambria Math" w:hAnsi="Cambria Math"/>
        </w:rPr>
      </w:pPr>
      <w:r>
        <w:rPr>
          <w:rFonts w:ascii="Cambria Math" w:hAnsi="Cambria Math"/>
        </w:rPr>
        <w:t xml:space="preserve">Как известно, налог на прибыль в Гонконге очень низкий – от 2 до 17 процентов в зависимости от обстоятельств. В Гонконге простая и понятная система налогообложения, в которой только определенные виды дохода – зарплата, прибыль и рентный доход, - подлежат налогообложению. Этим гонконгская налоговая система отличается от систем налогообложения некоторых стран, где лицо </w:t>
      </w:r>
      <w:proofErr w:type="spellStart"/>
      <w:r>
        <w:rPr>
          <w:rFonts w:ascii="Cambria Math" w:hAnsi="Cambria Math"/>
        </w:rPr>
        <w:t>налогооблагают</w:t>
      </w:r>
      <w:proofErr w:type="spellEnd"/>
      <w:r>
        <w:rPr>
          <w:rFonts w:ascii="Cambria Math" w:hAnsi="Cambria Math"/>
        </w:rPr>
        <w:t xml:space="preserve"> совокупно из всех источников.</w:t>
      </w:r>
    </w:p>
    <w:p w:rsidR="00F91358" w:rsidRDefault="00F91358" w:rsidP="00FF418E">
      <w:pPr>
        <w:spacing w:after="240"/>
        <w:rPr>
          <w:rFonts w:ascii="Cambria Math" w:hAnsi="Cambria Math"/>
        </w:rPr>
      </w:pPr>
      <w:r w:rsidRPr="009126FA">
        <w:rPr>
          <w:rFonts w:ascii="Cambria Math" w:hAnsi="Cambria Math"/>
          <w:b/>
        </w:rPr>
        <w:t>В зависимости от размера заработной платы налог будет составлять</w:t>
      </w:r>
      <w:r>
        <w:rPr>
          <w:rFonts w:ascii="Cambria Math" w:hAnsi="Cambria Math"/>
        </w:rPr>
        <w:t>:</w:t>
      </w:r>
    </w:p>
    <w:p w:rsidR="00F91358" w:rsidRDefault="00F91358" w:rsidP="00FF418E">
      <w:pPr>
        <w:spacing w:after="240"/>
        <w:rPr>
          <w:rFonts w:ascii="Cambria Math" w:hAnsi="Cambria Math"/>
        </w:rPr>
      </w:pPr>
      <w:r>
        <w:rPr>
          <w:rFonts w:ascii="Cambria Math" w:hAnsi="Cambria Math"/>
        </w:rPr>
        <w:t>Первые 40000 гонконгских долларов в год – 2 процента;</w:t>
      </w:r>
    </w:p>
    <w:p w:rsidR="00F91358" w:rsidRDefault="00F91358" w:rsidP="00FF418E">
      <w:pPr>
        <w:spacing w:after="240"/>
        <w:rPr>
          <w:rFonts w:ascii="Cambria Math" w:hAnsi="Cambria Math"/>
        </w:rPr>
      </w:pPr>
      <w:r>
        <w:rPr>
          <w:rFonts w:ascii="Cambria Math" w:hAnsi="Cambria Math"/>
        </w:rPr>
        <w:t>Следующие 40000 гонконгских долларов в год – 7 процентов;</w:t>
      </w:r>
    </w:p>
    <w:p w:rsidR="00F91358" w:rsidRDefault="00F91358" w:rsidP="00FF418E">
      <w:pPr>
        <w:spacing w:after="240"/>
        <w:rPr>
          <w:rFonts w:ascii="Cambria Math" w:hAnsi="Cambria Math"/>
        </w:rPr>
      </w:pPr>
      <w:r>
        <w:rPr>
          <w:rFonts w:ascii="Cambria Math" w:hAnsi="Cambria Math"/>
        </w:rPr>
        <w:t>Следующие 40000 гонконгских долларов в год – 12 процентов;</w:t>
      </w:r>
    </w:p>
    <w:p w:rsidR="00F91358" w:rsidRDefault="00F91358" w:rsidP="00FF418E">
      <w:pPr>
        <w:spacing w:after="240"/>
        <w:rPr>
          <w:rFonts w:ascii="Cambria Math" w:hAnsi="Cambria Math"/>
        </w:rPr>
      </w:pPr>
      <w:r>
        <w:rPr>
          <w:rFonts w:ascii="Cambria Math" w:hAnsi="Cambria Math"/>
        </w:rPr>
        <w:t xml:space="preserve">Более 120000 гонконгских долларов в год – 17 процентов. </w:t>
      </w:r>
    </w:p>
    <w:p w:rsidR="00F91358" w:rsidRDefault="00F91358" w:rsidP="00FF418E">
      <w:pPr>
        <w:spacing w:after="240"/>
        <w:rPr>
          <w:rFonts w:ascii="Cambria Math" w:hAnsi="Cambria Math"/>
        </w:rPr>
      </w:pPr>
      <w:r w:rsidRPr="009126FA">
        <w:rPr>
          <w:rFonts w:ascii="Cambria Math" w:hAnsi="Cambria Math"/>
          <w:b/>
        </w:rPr>
        <w:t>Налоговые вычеты осуществляются государством если</w:t>
      </w:r>
      <w:r>
        <w:rPr>
          <w:rFonts w:ascii="Cambria Math" w:hAnsi="Cambria Math"/>
        </w:rPr>
        <w:t>:</w:t>
      </w:r>
    </w:p>
    <w:p w:rsidR="00F91358" w:rsidRDefault="00F91358" w:rsidP="00FF418E">
      <w:pPr>
        <w:spacing w:after="240"/>
        <w:rPr>
          <w:rFonts w:ascii="Cambria Math" w:hAnsi="Cambria Math"/>
        </w:rPr>
      </w:pPr>
      <w:r>
        <w:rPr>
          <w:rFonts w:ascii="Cambria Math" w:hAnsi="Cambria Math"/>
        </w:rPr>
        <w:t>⦁ налогоплательщик женат;</w:t>
      </w:r>
    </w:p>
    <w:p w:rsidR="00F91358" w:rsidRDefault="00F91358" w:rsidP="00FF418E">
      <w:pPr>
        <w:spacing w:after="240"/>
        <w:rPr>
          <w:rFonts w:ascii="Cambria Math" w:hAnsi="Cambria Math"/>
        </w:rPr>
      </w:pPr>
      <w:r>
        <w:rPr>
          <w:rFonts w:ascii="Cambria Math" w:hAnsi="Cambria Math"/>
        </w:rPr>
        <w:t>⦁ у налогоплательщика есть один или более детей;</w:t>
      </w:r>
    </w:p>
    <w:p w:rsidR="00F91358" w:rsidRDefault="00F91358" w:rsidP="00FF418E">
      <w:pPr>
        <w:spacing w:after="240"/>
        <w:rPr>
          <w:rFonts w:ascii="Cambria Math" w:hAnsi="Cambria Math"/>
        </w:rPr>
      </w:pPr>
      <w:r>
        <w:rPr>
          <w:rFonts w:ascii="Cambria Math" w:hAnsi="Cambria Math"/>
        </w:rPr>
        <w:t>⦁ налогоплательщик является родителем-одиночкой;</w:t>
      </w:r>
    </w:p>
    <w:p w:rsidR="00F91358" w:rsidRDefault="00F91358" w:rsidP="00FF418E">
      <w:pPr>
        <w:spacing w:after="240"/>
        <w:rPr>
          <w:rFonts w:ascii="Cambria Math" w:hAnsi="Cambria Math"/>
        </w:rPr>
      </w:pPr>
      <w:r>
        <w:rPr>
          <w:rFonts w:ascii="Cambria Math" w:hAnsi="Cambria Math"/>
        </w:rPr>
        <w:lastRenderedPageBreak/>
        <w:t>⦁ налогоплательщик содержит инвалида;</w:t>
      </w:r>
    </w:p>
    <w:p w:rsidR="00F91358" w:rsidRDefault="00F91358" w:rsidP="00FF418E">
      <w:pPr>
        <w:spacing w:after="240"/>
        <w:rPr>
          <w:rFonts w:ascii="Cambria Math" w:hAnsi="Cambria Math"/>
        </w:rPr>
      </w:pPr>
      <w:r>
        <w:rPr>
          <w:rFonts w:ascii="Cambria Math" w:hAnsi="Cambria Math"/>
        </w:rPr>
        <w:t>⦁ налогоплательщик содержит близкого родственника.</w:t>
      </w:r>
    </w:p>
    <w:p w:rsidR="005B733E" w:rsidRDefault="005B733E" w:rsidP="00FF418E">
      <w:pPr>
        <w:spacing w:after="240"/>
        <w:rPr>
          <w:rFonts w:ascii="Cambria Math" w:hAnsi="Cambria Math"/>
        </w:rPr>
      </w:pPr>
      <w:r>
        <w:rPr>
          <w:rFonts w:ascii="Cambria Math" w:hAnsi="Cambria Math"/>
        </w:rPr>
        <w:t xml:space="preserve">Если налогоплательщики состоят в браке, то каждому из них по отдельности необходимо каждый год заполнять налоговую декларацию и платить собственные налоги. Но если сумма платежей мужа и жены по отдельности превышает платеж, который они платили, если бы подали совместную декларацию, они могут подать прошение об уплате совместного налогового платежа в </w:t>
      </w:r>
      <w:r>
        <w:rPr>
          <w:rFonts w:ascii="Cambria Math" w:hAnsi="Cambria Math"/>
          <w:lang w:val="en-US"/>
        </w:rPr>
        <w:t>IRD</w:t>
      </w:r>
      <w:r>
        <w:rPr>
          <w:rFonts w:ascii="Cambria Math" w:hAnsi="Cambria Math"/>
        </w:rPr>
        <w:t>. Это можно сделать при заполнении формы ежегодной налоговой отчетности.</w:t>
      </w:r>
    </w:p>
    <w:p w:rsidR="005B733E" w:rsidRDefault="00443548" w:rsidP="00FF418E">
      <w:pPr>
        <w:pStyle w:val="2"/>
        <w:spacing w:after="240"/>
      </w:pPr>
      <w:r>
        <w:t>Услуги домработницы в Гонконге</w:t>
      </w:r>
    </w:p>
    <w:p w:rsidR="00AE0BF4" w:rsidRDefault="00AE0BF4" w:rsidP="00FF418E">
      <w:pPr>
        <w:spacing w:after="240"/>
        <w:rPr>
          <w:rFonts w:ascii="Cambria Math" w:hAnsi="Cambria Math"/>
        </w:rPr>
      </w:pPr>
      <w:r>
        <w:rPr>
          <w:rFonts w:ascii="Cambria Math" w:hAnsi="Cambria Math"/>
        </w:rPr>
        <w:t xml:space="preserve">В большинстве семей Гонконга имеется домработница, как правило, из Индонезии или Филиппин. Их услуги стоят недорого, поэтому позволить себе домработницу, которая будет помогать с приготовлением пищи, уборкой и уходом за детьми, может практически любая семья. Стоить такие услуги будут несколько тысяч гонконгских долларов в месяц за шесть рабочих дней. </w:t>
      </w:r>
    </w:p>
    <w:p w:rsidR="00AE0BF4" w:rsidRDefault="00AE0BF4" w:rsidP="00FF418E">
      <w:pPr>
        <w:pStyle w:val="2"/>
        <w:spacing w:after="240"/>
      </w:pPr>
      <w:r>
        <w:t>Стоимость проживания в Гонконге</w:t>
      </w:r>
    </w:p>
    <w:tbl>
      <w:tblPr>
        <w:tblStyle w:val="a3"/>
        <w:tblW w:w="0" w:type="auto"/>
        <w:tblLook w:val="04A0" w:firstRow="1" w:lastRow="0" w:firstColumn="1" w:lastColumn="0" w:noHBand="0" w:noVBand="1"/>
      </w:tblPr>
      <w:tblGrid>
        <w:gridCol w:w="7083"/>
        <w:gridCol w:w="2262"/>
      </w:tblGrid>
      <w:tr w:rsidR="00AE0BF4" w:rsidTr="00630041">
        <w:tc>
          <w:tcPr>
            <w:tcW w:w="9345" w:type="dxa"/>
            <w:gridSpan w:val="2"/>
          </w:tcPr>
          <w:p w:rsidR="00AE0BF4" w:rsidRDefault="00AE0BF4" w:rsidP="00FF418E">
            <w:pPr>
              <w:spacing w:after="240"/>
              <w:rPr>
                <w:rFonts w:ascii="Cambria Math" w:hAnsi="Cambria Math"/>
              </w:rPr>
            </w:pPr>
            <w:r>
              <w:rPr>
                <w:rFonts w:ascii="Cambria Math" w:hAnsi="Cambria Math"/>
              </w:rPr>
              <w:t>Размещение (ежемесячная арендная плата в хорошем районе)</w:t>
            </w:r>
          </w:p>
        </w:tc>
      </w:tr>
      <w:tr w:rsidR="00AE0BF4" w:rsidTr="00594222">
        <w:tc>
          <w:tcPr>
            <w:tcW w:w="7083" w:type="dxa"/>
          </w:tcPr>
          <w:p w:rsidR="00AE0BF4" w:rsidRDefault="00AE0BF4" w:rsidP="00FF418E">
            <w:pPr>
              <w:spacing w:after="240"/>
              <w:rPr>
                <w:rFonts w:ascii="Cambria Math" w:hAnsi="Cambria Math"/>
              </w:rPr>
            </w:pPr>
            <w:r>
              <w:rPr>
                <w:rFonts w:ascii="Cambria Math" w:hAnsi="Cambria Math"/>
              </w:rPr>
              <w:t>Двухкомнатная квартира с мебелью среднего уровня</w:t>
            </w:r>
          </w:p>
        </w:tc>
        <w:tc>
          <w:tcPr>
            <w:tcW w:w="2262" w:type="dxa"/>
          </w:tcPr>
          <w:p w:rsidR="00AE0BF4" w:rsidRPr="00AE0BF4" w:rsidRDefault="00AE0BF4" w:rsidP="00FF418E">
            <w:pPr>
              <w:spacing w:after="240"/>
              <w:rPr>
                <w:rFonts w:ascii="Cambria Math" w:hAnsi="Cambria Math"/>
              </w:rPr>
            </w:pPr>
            <w:r>
              <w:rPr>
                <w:rFonts w:ascii="Cambria Math" w:hAnsi="Cambria Math"/>
              </w:rPr>
              <w:t xml:space="preserve">От 15 000 </w:t>
            </w:r>
            <w:r>
              <w:rPr>
                <w:rFonts w:ascii="Cambria Math" w:hAnsi="Cambria Math"/>
                <w:lang w:val="en-US"/>
              </w:rPr>
              <w:t>HKD</w:t>
            </w:r>
          </w:p>
        </w:tc>
      </w:tr>
      <w:tr w:rsidR="00AE0BF4" w:rsidTr="00594222">
        <w:tc>
          <w:tcPr>
            <w:tcW w:w="7083" w:type="dxa"/>
          </w:tcPr>
          <w:p w:rsidR="00AE0BF4" w:rsidRDefault="00AE0BF4" w:rsidP="00FF418E">
            <w:pPr>
              <w:spacing w:after="240"/>
              <w:rPr>
                <w:rFonts w:ascii="Cambria Math" w:hAnsi="Cambria Math"/>
              </w:rPr>
            </w:pPr>
            <w:r>
              <w:rPr>
                <w:rFonts w:ascii="Cambria Math" w:hAnsi="Cambria Math"/>
              </w:rPr>
              <w:t xml:space="preserve">Двухкомнатная квартира с мебелью возле </w:t>
            </w:r>
            <w:proofErr w:type="spellStart"/>
            <w:r>
              <w:rPr>
                <w:rFonts w:ascii="Cambria Math" w:hAnsi="Cambria Math"/>
              </w:rPr>
              <w:t>Цяньшуйваня</w:t>
            </w:r>
            <w:proofErr w:type="spellEnd"/>
          </w:p>
        </w:tc>
        <w:tc>
          <w:tcPr>
            <w:tcW w:w="2262" w:type="dxa"/>
          </w:tcPr>
          <w:p w:rsidR="00AE0BF4" w:rsidRPr="00BD42D1" w:rsidRDefault="00BD42D1" w:rsidP="00FF418E">
            <w:pPr>
              <w:spacing w:after="240"/>
              <w:rPr>
                <w:rFonts w:ascii="Cambria Math" w:hAnsi="Cambria Math"/>
              </w:rPr>
            </w:pPr>
            <w:r>
              <w:rPr>
                <w:rFonts w:ascii="Cambria Math" w:hAnsi="Cambria Math"/>
              </w:rPr>
              <w:t xml:space="preserve">От 30 000 </w:t>
            </w:r>
            <w:r>
              <w:rPr>
                <w:rFonts w:ascii="Cambria Math" w:hAnsi="Cambria Math"/>
                <w:lang w:val="en-US"/>
              </w:rPr>
              <w:t>HKD</w:t>
            </w:r>
          </w:p>
        </w:tc>
      </w:tr>
      <w:tr w:rsidR="00AE0BF4" w:rsidTr="00594222">
        <w:tc>
          <w:tcPr>
            <w:tcW w:w="7083" w:type="dxa"/>
          </w:tcPr>
          <w:p w:rsidR="00AE0BF4" w:rsidRDefault="00AE0BF4" w:rsidP="00FF418E">
            <w:pPr>
              <w:spacing w:after="240"/>
              <w:rPr>
                <w:rFonts w:ascii="Cambria Math" w:hAnsi="Cambria Math"/>
              </w:rPr>
            </w:pPr>
            <w:r>
              <w:rPr>
                <w:rFonts w:ascii="Cambria Math" w:hAnsi="Cambria Math"/>
              </w:rPr>
              <w:t xml:space="preserve">Трехкомнатная квартира с мебелью </w:t>
            </w:r>
            <w:r w:rsidR="00BD42D1">
              <w:rPr>
                <w:rFonts w:ascii="Cambria Math" w:hAnsi="Cambria Math"/>
              </w:rPr>
              <w:t>среднего уровня</w:t>
            </w:r>
          </w:p>
        </w:tc>
        <w:tc>
          <w:tcPr>
            <w:tcW w:w="2262" w:type="dxa"/>
          </w:tcPr>
          <w:p w:rsidR="00AE0BF4" w:rsidRPr="00BD42D1" w:rsidRDefault="00BD42D1" w:rsidP="00FF418E">
            <w:pPr>
              <w:spacing w:after="240"/>
              <w:rPr>
                <w:rFonts w:ascii="Cambria Math" w:hAnsi="Cambria Math"/>
                <w:lang w:val="en-US"/>
              </w:rPr>
            </w:pPr>
            <w:r>
              <w:rPr>
                <w:rFonts w:ascii="Cambria Math" w:hAnsi="Cambria Math"/>
              </w:rPr>
              <w:t xml:space="preserve">От 15 000 </w:t>
            </w:r>
            <w:r>
              <w:rPr>
                <w:rFonts w:ascii="Cambria Math" w:hAnsi="Cambria Math"/>
                <w:lang w:val="en-US"/>
              </w:rPr>
              <w:t>HKD</w:t>
            </w:r>
          </w:p>
        </w:tc>
      </w:tr>
      <w:tr w:rsidR="00AE0BF4" w:rsidTr="00594222">
        <w:tc>
          <w:tcPr>
            <w:tcW w:w="7083" w:type="dxa"/>
          </w:tcPr>
          <w:p w:rsidR="00BD42D1" w:rsidRDefault="00BD42D1" w:rsidP="00FF418E">
            <w:pPr>
              <w:spacing w:after="240"/>
              <w:rPr>
                <w:rFonts w:ascii="Cambria Math" w:hAnsi="Cambria Math"/>
              </w:rPr>
            </w:pPr>
            <w:r>
              <w:rPr>
                <w:rFonts w:ascii="Cambria Math" w:hAnsi="Cambria Math"/>
              </w:rPr>
              <w:t xml:space="preserve">Трехкомнатная квартира с мебелью возле </w:t>
            </w:r>
            <w:proofErr w:type="spellStart"/>
            <w:r>
              <w:rPr>
                <w:rFonts w:ascii="Cambria Math" w:hAnsi="Cambria Math"/>
              </w:rPr>
              <w:t>Цяньшуйваня</w:t>
            </w:r>
            <w:proofErr w:type="spellEnd"/>
          </w:p>
        </w:tc>
        <w:tc>
          <w:tcPr>
            <w:tcW w:w="2262" w:type="dxa"/>
          </w:tcPr>
          <w:p w:rsidR="00AE0BF4" w:rsidRDefault="00BD42D1" w:rsidP="00FF418E">
            <w:pPr>
              <w:spacing w:after="240"/>
              <w:rPr>
                <w:rFonts w:ascii="Cambria Math" w:hAnsi="Cambria Math"/>
              </w:rPr>
            </w:pPr>
            <w:r>
              <w:rPr>
                <w:rFonts w:ascii="Cambria Math" w:hAnsi="Cambria Math"/>
              </w:rPr>
              <w:t xml:space="preserve">От 35 000 </w:t>
            </w:r>
          </w:p>
        </w:tc>
      </w:tr>
      <w:tr w:rsidR="00402F9B" w:rsidTr="006A7C98">
        <w:tc>
          <w:tcPr>
            <w:tcW w:w="9345" w:type="dxa"/>
            <w:gridSpan w:val="2"/>
          </w:tcPr>
          <w:p w:rsidR="00402F9B" w:rsidRDefault="00402F9B" w:rsidP="00FF418E">
            <w:pPr>
              <w:spacing w:after="240"/>
              <w:rPr>
                <w:rFonts w:ascii="Cambria Math" w:hAnsi="Cambria Math"/>
              </w:rPr>
            </w:pPr>
            <w:r>
              <w:rPr>
                <w:rFonts w:ascii="Cambria Math" w:hAnsi="Cambria Math"/>
              </w:rPr>
              <w:t>Продукты</w:t>
            </w:r>
          </w:p>
        </w:tc>
      </w:tr>
      <w:tr w:rsidR="00AE0BF4" w:rsidTr="00594222">
        <w:tc>
          <w:tcPr>
            <w:tcW w:w="7083" w:type="dxa"/>
          </w:tcPr>
          <w:p w:rsidR="00AE0BF4" w:rsidRDefault="00594222" w:rsidP="00FF418E">
            <w:pPr>
              <w:spacing w:after="240"/>
              <w:rPr>
                <w:rFonts w:ascii="Cambria Math" w:hAnsi="Cambria Math"/>
              </w:rPr>
            </w:pPr>
            <w:r>
              <w:rPr>
                <w:rFonts w:ascii="Cambria Math" w:hAnsi="Cambria Math"/>
              </w:rPr>
              <w:t>Дюжина яиц</w:t>
            </w:r>
          </w:p>
        </w:tc>
        <w:tc>
          <w:tcPr>
            <w:tcW w:w="2262" w:type="dxa"/>
          </w:tcPr>
          <w:p w:rsidR="00AE0BF4" w:rsidRPr="00CA1704" w:rsidRDefault="00594222" w:rsidP="00FF418E">
            <w:pPr>
              <w:spacing w:after="240"/>
              <w:rPr>
                <w:rFonts w:ascii="Cambria Math" w:hAnsi="Cambria Math"/>
                <w:lang w:val="en-US"/>
              </w:rPr>
            </w:pPr>
            <w:r>
              <w:rPr>
                <w:rFonts w:ascii="Cambria Math" w:hAnsi="Cambria Math"/>
              </w:rPr>
              <w:t>21.50</w:t>
            </w:r>
            <w:r w:rsidR="00CA1704">
              <w:rPr>
                <w:rFonts w:ascii="Cambria Math" w:hAnsi="Cambria Math"/>
              </w:rPr>
              <w:t xml:space="preserve"> </w:t>
            </w:r>
            <w:r w:rsidR="00CA1704">
              <w:rPr>
                <w:rFonts w:ascii="Cambria Math" w:hAnsi="Cambria Math"/>
                <w:lang w:val="en-US"/>
              </w:rPr>
              <w:t>HKD</w:t>
            </w:r>
          </w:p>
        </w:tc>
      </w:tr>
      <w:tr w:rsidR="00AE0BF4" w:rsidTr="00594222">
        <w:tc>
          <w:tcPr>
            <w:tcW w:w="7083" w:type="dxa"/>
          </w:tcPr>
          <w:p w:rsidR="00AE0BF4" w:rsidRDefault="00594222" w:rsidP="00FF418E">
            <w:pPr>
              <w:spacing w:after="240"/>
              <w:rPr>
                <w:rFonts w:ascii="Cambria Math" w:hAnsi="Cambria Math"/>
              </w:rPr>
            </w:pPr>
            <w:r>
              <w:rPr>
                <w:rFonts w:ascii="Cambria Math" w:hAnsi="Cambria Math"/>
              </w:rPr>
              <w:t>Молоко (1 литр)</w:t>
            </w:r>
          </w:p>
        </w:tc>
        <w:tc>
          <w:tcPr>
            <w:tcW w:w="2262" w:type="dxa"/>
          </w:tcPr>
          <w:p w:rsidR="00AE0BF4" w:rsidRPr="00CA1704" w:rsidRDefault="00594222" w:rsidP="00FF418E">
            <w:pPr>
              <w:spacing w:after="240"/>
              <w:rPr>
                <w:rFonts w:ascii="Cambria Math" w:hAnsi="Cambria Math"/>
                <w:lang w:val="en-US"/>
              </w:rPr>
            </w:pPr>
            <w:r>
              <w:rPr>
                <w:rFonts w:ascii="Cambria Math" w:hAnsi="Cambria Math"/>
              </w:rPr>
              <w:t>21</w:t>
            </w:r>
            <w:r w:rsidR="00CA1704">
              <w:rPr>
                <w:rFonts w:ascii="Cambria Math" w:hAnsi="Cambria Math"/>
                <w:lang w:val="en-US"/>
              </w:rPr>
              <w:t xml:space="preserve"> HKD</w:t>
            </w:r>
          </w:p>
        </w:tc>
      </w:tr>
      <w:tr w:rsidR="00AE0BF4" w:rsidTr="00594222">
        <w:tc>
          <w:tcPr>
            <w:tcW w:w="7083" w:type="dxa"/>
          </w:tcPr>
          <w:p w:rsidR="00AE0BF4" w:rsidRDefault="00594222" w:rsidP="00FF418E">
            <w:pPr>
              <w:spacing w:after="240"/>
              <w:rPr>
                <w:rFonts w:ascii="Cambria Math" w:hAnsi="Cambria Math"/>
              </w:rPr>
            </w:pPr>
            <w:r>
              <w:rPr>
                <w:rFonts w:ascii="Cambria Math" w:hAnsi="Cambria Math"/>
              </w:rPr>
              <w:t>Рис (1 кг)</w:t>
            </w:r>
          </w:p>
        </w:tc>
        <w:tc>
          <w:tcPr>
            <w:tcW w:w="2262" w:type="dxa"/>
          </w:tcPr>
          <w:p w:rsidR="00AE0BF4" w:rsidRPr="00CA1704" w:rsidRDefault="00594222" w:rsidP="00FF418E">
            <w:pPr>
              <w:spacing w:after="240"/>
              <w:rPr>
                <w:rFonts w:ascii="Cambria Math" w:hAnsi="Cambria Math"/>
                <w:lang w:val="en-US"/>
              </w:rPr>
            </w:pPr>
            <w:r>
              <w:rPr>
                <w:rFonts w:ascii="Cambria Math" w:hAnsi="Cambria Math"/>
              </w:rPr>
              <w:t>15.50</w:t>
            </w:r>
            <w:r w:rsidR="00CA1704">
              <w:rPr>
                <w:rFonts w:ascii="Cambria Math" w:hAnsi="Cambria Math"/>
                <w:lang w:val="en-US"/>
              </w:rPr>
              <w:t xml:space="preserve"> HKD</w:t>
            </w:r>
          </w:p>
        </w:tc>
      </w:tr>
      <w:tr w:rsidR="00AE0BF4" w:rsidTr="00594222">
        <w:tc>
          <w:tcPr>
            <w:tcW w:w="7083" w:type="dxa"/>
          </w:tcPr>
          <w:p w:rsidR="00AE0BF4" w:rsidRDefault="00594222" w:rsidP="00FF418E">
            <w:pPr>
              <w:spacing w:after="240"/>
              <w:rPr>
                <w:rFonts w:ascii="Cambria Math" w:hAnsi="Cambria Math"/>
              </w:rPr>
            </w:pPr>
            <w:r>
              <w:rPr>
                <w:rFonts w:ascii="Cambria Math" w:hAnsi="Cambria Math"/>
              </w:rPr>
              <w:t xml:space="preserve">Буханка белого хлеба </w:t>
            </w:r>
          </w:p>
        </w:tc>
        <w:tc>
          <w:tcPr>
            <w:tcW w:w="2262" w:type="dxa"/>
          </w:tcPr>
          <w:p w:rsidR="00AE0BF4" w:rsidRPr="00CA1704" w:rsidRDefault="00594222" w:rsidP="00FF418E">
            <w:pPr>
              <w:spacing w:after="240"/>
              <w:rPr>
                <w:rFonts w:ascii="Cambria Math" w:hAnsi="Cambria Math"/>
                <w:lang w:val="en-US"/>
              </w:rPr>
            </w:pPr>
            <w:r>
              <w:rPr>
                <w:rFonts w:ascii="Cambria Math" w:hAnsi="Cambria Math"/>
              </w:rPr>
              <w:t>14</w:t>
            </w:r>
            <w:r w:rsidR="00CA1704">
              <w:rPr>
                <w:rFonts w:ascii="Cambria Math" w:hAnsi="Cambria Math"/>
                <w:lang w:val="en-US"/>
              </w:rPr>
              <w:t xml:space="preserve"> HKD</w:t>
            </w:r>
          </w:p>
        </w:tc>
      </w:tr>
      <w:tr w:rsidR="00AE0BF4" w:rsidTr="00594222">
        <w:tc>
          <w:tcPr>
            <w:tcW w:w="7083" w:type="dxa"/>
          </w:tcPr>
          <w:p w:rsidR="00AE0BF4" w:rsidRDefault="00594222" w:rsidP="00FF418E">
            <w:pPr>
              <w:spacing w:after="240"/>
              <w:rPr>
                <w:rFonts w:ascii="Cambria Math" w:hAnsi="Cambria Math"/>
              </w:rPr>
            </w:pPr>
            <w:r>
              <w:rPr>
                <w:rFonts w:ascii="Cambria Math" w:hAnsi="Cambria Math"/>
              </w:rPr>
              <w:t>Куриные грудки (1 кг)</w:t>
            </w:r>
          </w:p>
        </w:tc>
        <w:tc>
          <w:tcPr>
            <w:tcW w:w="2262" w:type="dxa"/>
          </w:tcPr>
          <w:p w:rsidR="00AE0BF4" w:rsidRPr="00CA1704" w:rsidRDefault="00594222" w:rsidP="00FF418E">
            <w:pPr>
              <w:spacing w:after="240"/>
              <w:rPr>
                <w:rFonts w:ascii="Cambria Math" w:hAnsi="Cambria Math"/>
                <w:lang w:val="en-US"/>
              </w:rPr>
            </w:pPr>
            <w:r>
              <w:rPr>
                <w:rFonts w:ascii="Cambria Math" w:hAnsi="Cambria Math"/>
              </w:rPr>
              <w:t>51</w:t>
            </w:r>
            <w:r w:rsidR="00CA1704">
              <w:rPr>
                <w:rFonts w:ascii="Cambria Math" w:hAnsi="Cambria Math"/>
                <w:lang w:val="en-US"/>
              </w:rPr>
              <w:t xml:space="preserve"> HKD</w:t>
            </w:r>
          </w:p>
        </w:tc>
      </w:tr>
      <w:tr w:rsidR="00AE0BF4" w:rsidTr="00594222">
        <w:tc>
          <w:tcPr>
            <w:tcW w:w="7083" w:type="dxa"/>
          </w:tcPr>
          <w:p w:rsidR="00AE0BF4" w:rsidRPr="00594222" w:rsidRDefault="00594222" w:rsidP="00FF418E">
            <w:pPr>
              <w:spacing w:after="240"/>
              <w:rPr>
                <w:rFonts w:ascii="Cambria Math" w:hAnsi="Cambria Math"/>
              </w:rPr>
            </w:pPr>
            <w:r>
              <w:rPr>
                <w:rFonts w:ascii="Cambria Math" w:hAnsi="Cambria Math"/>
                <w:lang w:val="en-US"/>
              </w:rPr>
              <w:t>Coca-Cola</w:t>
            </w:r>
            <w:r>
              <w:rPr>
                <w:rFonts w:ascii="Cambria Math" w:hAnsi="Cambria Math"/>
              </w:rPr>
              <w:t xml:space="preserve"> (330 мл)</w:t>
            </w:r>
          </w:p>
        </w:tc>
        <w:tc>
          <w:tcPr>
            <w:tcW w:w="2262" w:type="dxa"/>
          </w:tcPr>
          <w:p w:rsidR="00AE0BF4" w:rsidRPr="00CA1704" w:rsidRDefault="00594222" w:rsidP="00FF418E">
            <w:pPr>
              <w:spacing w:after="240"/>
              <w:rPr>
                <w:rFonts w:ascii="Cambria Math" w:hAnsi="Cambria Math"/>
                <w:lang w:val="en-US"/>
              </w:rPr>
            </w:pPr>
            <w:r>
              <w:rPr>
                <w:rFonts w:ascii="Cambria Math" w:hAnsi="Cambria Math"/>
              </w:rPr>
              <w:t>8</w:t>
            </w:r>
            <w:r w:rsidR="00CA1704">
              <w:rPr>
                <w:rFonts w:ascii="Cambria Math" w:hAnsi="Cambria Math"/>
                <w:lang w:val="en-US"/>
              </w:rPr>
              <w:t xml:space="preserve"> HKD</w:t>
            </w:r>
          </w:p>
        </w:tc>
      </w:tr>
      <w:tr w:rsidR="00AE0BF4" w:rsidTr="00594222">
        <w:tc>
          <w:tcPr>
            <w:tcW w:w="7083" w:type="dxa"/>
          </w:tcPr>
          <w:p w:rsidR="00AE0BF4" w:rsidRDefault="00B92F89" w:rsidP="00FF418E">
            <w:pPr>
              <w:spacing w:after="240"/>
              <w:rPr>
                <w:rFonts w:ascii="Cambria Math" w:hAnsi="Cambria Math"/>
              </w:rPr>
            </w:pPr>
            <w:r>
              <w:rPr>
                <w:rFonts w:ascii="Cambria Math" w:hAnsi="Cambria Math"/>
              </w:rPr>
              <w:t>Капучино</w:t>
            </w:r>
            <w:r w:rsidR="00594222">
              <w:rPr>
                <w:rFonts w:ascii="Cambria Math" w:hAnsi="Cambria Math"/>
              </w:rPr>
              <w:t xml:space="preserve"> </w:t>
            </w:r>
          </w:p>
        </w:tc>
        <w:tc>
          <w:tcPr>
            <w:tcW w:w="2262" w:type="dxa"/>
          </w:tcPr>
          <w:p w:rsidR="00AE0BF4" w:rsidRPr="00CA1704" w:rsidRDefault="00594222" w:rsidP="00FF418E">
            <w:pPr>
              <w:spacing w:after="240"/>
              <w:rPr>
                <w:rFonts w:ascii="Cambria Math" w:hAnsi="Cambria Math"/>
                <w:lang w:val="en-US"/>
              </w:rPr>
            </w:pPr>
            <w:r>
              <w:rPr>
                <w:rFonts w:ascii="Cambria Math" w:hAnsi="Cambria Math"/>
              </w:rPr>
              <w:t>32</w:t>
            </w:r>
            <w:r w:rsidR="00CA1704">
              <w:rPr>
                <w:rFonts w:ascii="Cambria Math" w:hAnsi="Cambria Math"/>
                <w:lang w:val="en-US"/>
              </w:rPr>
              <w:t xml:space="preserve"> HKD</w:t>
            </w:r>
          </w:p>
        </w:tc>
      </w:tr>
      <w:tr w:rsidR="00AE0BF4" w:rsidTr="00594222">
        <w:tc>
          <w:tcPr>
            <w:tcW w:w="7083" w:type="dxa"/>
          </w:tcPr>
          <w:p w:rsidR="00AE0BF4" w:rsidRDefault="00594222" w:rsidP="00FF418E">
            <w:pPr>
              <w:spacing w:after="240"/>
              <w:rPr>
                <w:rFonts w:ascii="Cambria Math" w:hAnsi="Cambria Math"/>
              </w:rPr>
            </w:pPr>
            <w:r>
              <w:rPr>
                <w:rFonts w:ascii="Cambria Math" w:hAnsi="Cambria Math"/>
              </w:rPr>
              <w:t>Бутылка пива</w:t>
            </w:r>
          </w:p>
        </w:tc>
        <w:tc>
          <w:tcPr>
            <w:tcW w:w="2262" w:type="dxa"/>
          </w:tcPr>
          <w:p w:rsidR="00AE0BF4" w:rsidRPr="00CA1704" w:rsidRDefault="00594222" w:rsidP="00FF418E">
            <w:pPr>
              <w:spacing w:after="240"/>
              <w:rPr>
                <w:rFonts w:ascii="Cambria Math" w:hAnsi="Cambria Math"/>
                <w:lang w:val="en-US"/>
              </w:rPr>
            </w:pPr>
            <w:r>
              <w:rPr>
                <w:rFonts w:ascii="Cambria Math" w:hAnsi="Cambria Math"/>
              </w:rPr>
              <w:t>40</w:t>
            </w:r>
            <w:r w:rsidR="00CA1704">
              <w:rPr>
                <w:rFonts w:ascii="Cambria Math" w:hAnsi="Cambria Math"/>
                <w:lang w:val="en-US"/>
              </w:rPr>
              <w:t xml:space="preserve"> HKD</w:t>
            </w:r>
          </w:p>
        </w:tc>
      </w:tr>
      <w:tr w:rsidR="00AE0BF4" w:rsidTr="00594222">
        <w:tc>
          <w:tcPr>
            <w:tcW w:w="7083" w:type="dxa"/>
          </w:tcPr>
          <w:p w:rsidR="00AE0BF4" w:rsidRDefault="00594222" w:rsidP="00FF418E">
            <w:pPr>
              <w:spacing w:after="240"/>
              <w:rPr>
                <w:rFonts w:ascii="Cambria Math" w:hAnsi="Cambria Math"/>
              </w:rPr>
            </w:pPr>
            <w:r>
              <w:rPr>
                <w:rFonts w:ascii="Cambria Math" w:hAnsi="Cambria Math"/>
              </w:rPr>
              <w:t>Три блюда в ресторане среднего класса</w:t>
            </w:r>
          </w:p>
        </w:tc>
        <w:tc>
          <w:tcPr>
            <w:tcW w:w="2262" w:type="dxa"/>
          </w:tcPr>
          <w:p w:rsidR="00AE0BF4" w:rsidRPr="00CA1704" w:rsidRDefault="00594222" w:rsidP="00FF418E">
            <w:pPr>
              <w:spacing w:after="240"/>
              <w:rPr>
                <w:rFonts w:ascii="Cambria Math" w:hAnsi="Cambria Math"/>
                <w:lang w:val="en-US"/>
              </w:rPr>
            </w:pPr>
            <w:r>
              <w:rPr>
                <w:rFonts w:ascii="Cambria Math" w:hAnsi="Cambria Math"/>
              </w:rPr>
              <w:t>От 350</w:t>
            </w:r>
            <w:r w:rsidR="00CA1704">
              <w:rPr>
                <w:rFonts w:ascii="Cambria Math" w:hAnsi="Cambria Math"/>
                <w:lang w:val="en-US"/>
              </w:rPr>
              <w:t xml:space="preserve"> HKD</w:t>
            </w:r>
          </w:p>
        </w:tc>
      </w:tr>
      <w:tr w:rsidR="00402F9B" w:rsidTr="007A6457">
        <w:tc>
          <w:tcPr>
            <w:tcW w:w="9345" w:type="dxa"/>
            <w:gridSpan w:val="2"/>
          </w:tcPr>
          <w:p w:rsidR="00402F9B" w:rsidRDefault="00402F9B" w:rsidP="00FF418E">
            <w:pPr>
              <w:spacing w:after="240"/>
              <w:rPr>
                <w:rFonts w:ascii="Cambria Math" w:hAnsi="Cambria Math"/>
              </w:rPr>
            </w:pPr>
            <w:r>
              <w:rPr>
                <w:rFonts w:ascii="Cambria Math" w:hAnsi="Cambria Math"/>
              </w:rPr>
              <w:t xml:space="preserve">Коммунальные услуги </w:t>
            </w:r>
          </w:p>
        </w:tc>
      </w:tr>
      <w:tr w:rsidR="00AE0BF4" w:rsidTr="00594222">
        <w:tc>
          <w:tcPr>
            <w:tcW w:w="7083" w:type="dxa"/>
          </w:tcPr>
          <w:p w:rsidR="00AE0BF4" w:rsidRDefault="00594222" w:rsidP="00FF418E">
            <w:pPr>
              <w:spacing w:after="240"/>
              <w:rPr>
                <w:rFonts w:ascii="Cambria Math" w:hAnsi="Cambria Math"/>
              </w:rPr>
            </w:pPr>
            <w:r>
              <w:rPr>
                <w:rFonts w:ascii="Cambria Math" w:hAnsi="Cambria Math"/>
              </w:rPr>
              <w:t>Интернет (в среднем за месяц)</w:t>
            </w:r>
          </w:p>
        </w:tc>
        <w:tc>
          <w:tcPr>
            <w:tcW w:w="2262" w:type="dxa"/>
          </w:tcPr>
          <w:p w:rsidR="00AE0BF4" w:rsidRPr="00CA1704" w:rsidRDefault="00594222" w:rsidP="00FF418E">
            <w:pPr>
              <w:spacing w:after="240"/>
              <w:rPr>
                <w:rFonts w:ascii="Cambria Math" w:hAnsi="Cambria Math"/>
                <w:lang w:val="en-US"/>
              </w:rPr>
            </w:pPr>
            <w:r>
              <w:rPr>
                <w:rFonts w:ascii="Cambria Math" w:hAnsi="Cambria Math"/>
              </w:rPr>
              <w:t xml:space="preserve">195 </w:t>
            </w:r>
            <w:r w:rsidR="00CA1704">
              <w:rPr>
                <w:rFonts w:ascii="Cambria Math" w:hAnsi="Cambria Math"/>
                <w:lang w:val="en-US"/>
              </w:rPr>
              <w:t>HKD</w:t>
            </w:r>
          </w:p>
        </w:tc>
      </w:tr>
      <w:tr w:rsidR="00AE0BF4" w:rsidTr="00594222">
        <w:tc>
          <w:tcPr>
            <w:tcW w:w="7083" w:type="dxa"/>
          </w:tcPr>
          <w:p w:rsidR="00AE0BF4" w:rsidRDefault="00594222" w:rsidP="00FF418E">
            <w:pPr>
              <w:spacing w:after="240"/>
              <w:rPr>
                <w:rFonts w:ascii="Cambria Math" w:hAnsi="Cambria Math"/>
              </w:rPr>
            </w:pPr>
            <w:r>
              <w:rPr>
                <w:rFonts w:ascii="Cambria Math" w:hAnsi="Cambria Math"/>
              </w:rPr>
              <w:lastRenderedPageBreak/>
              <w:t>Основные коммунальные услуги (в месяц за небольшую квартиру)</w:t>
            </w:r>
          </w:p>
        </w:tc>
        <w:tc>
          <w:tcPr>
            <w:tcW w:w="2262" w:type="dxa"/>
          </w:tcPr>
          <w:p w:rsidR="00AE0BF4" w:rsidRPr="00CA1704" w:rsidRDefault="00594222" w:rsidP="00FF418E">
            <w:pPr>
              <w:spacing w:after="240"/>
              <w:rPr>
                <w:rFonts w:ascii="Cambria Math" w:hAnsi="Cambria Math"/>
                <w:lang w:val="en-US"/>
              </w:rPr>
            </w:pPr>
            <w:r>
              <w:rPr>
                <w:rFonts w:ascii="Cambria Math" w:hAnsi="Cambria Math"/>
              </w:rPr>
              <w:t>1250</w:t>
            </w:r>
            <w:r w:rsidR="00CA1704">
              <w:rPr>
                <w:rFonts w:ascii="Cambria Math" w:hAnsi="Cambria Math"/>
                <w:lang w:val="en-US"/>
              </w:rPr>
              <w:t xml:space="preserve"> HKD</w:t>
            </w:r>
          </w:p>
        </w:tc>
      </w:tr>
      <w:tr w:rsidR="00402F9B" w:rsidTr="008F3048">
        <w:tc>
          <w:tcPr>
            <w:tcW w:w="9345" w:type="dxa"/>
            <w:gridSpan w:val="2"/>
          </w:tcPr>
          <w:p w:rsidR="00402F9B" w:rsidRDefault="00402F9B" w:rsidP="00FF418E">
            <w:pPr>
              <w:spacing w:after="240"/>
              <w:rPr>
                <w:rFonts w:ascii="Cambria Math" w:hAnsi="Cambria Math"/>
              </w:rPr>
            </w:pPr>
            <w:r>
              <w:rPr>
                <w:rFonts w:ascii="Cambria Math" w:hAnsi="Cambria Math"/>
              </w:rPr>
              <w:t>Транспорт</w:t>
            </w:r>
          </w:p>
        </w:tc>
      </w:tr>
      <w:tr w:rsidR="00AE0BF4" w:rsidTr="00594222">
        <w:tc>
          <w:tcPr>
            <w:tcW w:w="7083" w:type="dxa"/>
          </w:tcPr>
          <w:p w:rsidR="00AE0BF4" w:rsidRDefault="00594222" w:rsidP="00FF418E">
            <w:pPr>
              <w:spacing w:after="240"/>
              <w:rPr>
                <w:rFonts w:ascii="Cambria Math" w:hAnsi="Cambria Math"/>
              </w:rPr>
            </w:pPr>
            <w:r>
              <w:rPr>
                <w:rFonts w:ascii="Cambria Math" w:hAnsi="Cambria Math"/>
              </w:rPr>
              <w:t>Такси (тариф за час)</w:t>
            </w:r>
          </w:p>
        </w:tc>
        <w:tc>
          <w:tcPr>
            <w:tcW w:w="2262" w:type="dxa"/>
          </w:tcPr>
          <w:p w:rsidR="00AE0BF4" w:rsidRPr="00CA1704" w:rsidRDefault="00594222" w:rsidP="00FF418E">
            <w:pPr>
              <w:spacing w:after="240"/>
              <w:rPr>
                <w:rFonts w:ascii="Cambria Math" w:hAnsi="Cambria Math"/>
                <w:lang w:val="en-US"/>
              </w:rPr>
            </w:pPr>
            <w:r>
              <w:rPr>
                <w:rFonts w:ascii="Cambria Math" w:hAnsi="Cambria Math"/>
              </w:rPr>
              <w:t>8</w:t>
            </w:r>
            <w:r w:rsidR="00CA1704">
              <w:rPr>
                <w:rFonts w:ascii="Cambria Math" w:hAnsi="Cambria Math"/>
                <w:lang w:val="en-US"/>
              </w:rPr>
              <w:t xml:space="preserve"> HKD</w:t>
            </w:r>
          </w:p>
        </w:tc>
      </w:tr>
      <w:tr w:rsidR="00AE0BF4" w:rsidTr="00594222">
        <w:tc>
          <w:tcPr>
            <w:tcW w:w="7083" w:type="dxa"/>
          </w:tcPr>
          <w:p w:rsidR="00AE0BF4" w:rsidRDefault="00594222" w:rsidP="00FF418E">
            <w:pPr>
              <w:spacing w:after="240"/>
              <w:rPr>
                <w:rFonts w:ascii="Cambria Math" w:hAnsi="Cambria Math"/>
              </w:rPr>
            </w:pPr>
            <w:r>
              <w:rPr>
                <w:rFonts w:ascii="Cambria Math" w:hAnsi="Cambria Math"/>
              </w:rPr>
              <w:t>Автобус/метро в центре города</w:t>
            </w:r>
          </w:p>
        </w:tc>
        <w:tc>
          <w:tcPr>
            <w:tcW w:w="2262" w:type="dxa"/>
          </w:tcPr>
          <w:p w:rsidR="00AE0BF4" w:rsidRPr="00CA1704" w:rsidRDefault="00594222" w:rsidP="00FF418E">
            <w:pPr>
              <w:spacing w:after="240"/>
              <w:rPr>
                <w:rFonts w:ascii="Cambria Math" w:hAnsi="Cambria Math"/>
                <w:lang w:val="en-US"/>
              </w:rPr>
            </w:pPr>
            <w:r>
              <w:rPr>
                <w:rFonts w:ascii="Cambria Math" w:hAnsi="Cambria Math"/>
              </w:rPr>
              <w:t>8</w:t>
            </w:r>
            <w:r w:rsidR="00CA1704">
              <w:rPr>
                <w:rFonts w:ascii="Cambria Math" w:hAnsi="Cambria Math"/>
                <w:lang w:val="en-US"/>
              </w:rPr>
              <w:t xml:space="preserve"> HKD</w:t>
            </w:r>
          </w:p>
        </w:tc>
      </w:tr>
      <w:tr w:rsidR="00AE0BF4" w:rsidTr="00594222">
        <w:tc>
          <w:tcPr>
            <w:tcW w:w="7083" w:type="dxa"/>
          </w:tcPr>
          <w:p w:rsidR="00AE0BF4" w:rsidRDefault="00594222" w:rsidP="00FF418E">
            <w:pPr>
              <w:spacing w:after="240"/>
              <w:rPr>
                <w:rFonts w:ascii="Cambria Math" w:hAnsi="Cambria Math"/>
              </w:rPr>
            </w:pPr>
            <w:r>
              <w:rPr>
                <w:rFonts w:ascii="Cambria Math" w:hAnsi="Cambria Math"/>
              </w:rPr>
              <w:t>Бензин (1 литр)</w:t>
            </w:r>
          </w:p>
        </w:tc>
        <w:tc>
          <w:tcPr>
            <w:tcW w:w="2262" w:type="dxa"/>
          </w:tcPr>
          <w:p w:rsidR="00AE0BF4" w:rsidRPr="00CA1704" w:rsidRDefault="00594222" w:rsidP="00FF418E">
            <w:pPr>
              <w:spacing w:after="240"/>
              <w:rPr>
                <w:rFonts w:ascii="Cambria Math" w:hAnsi="Cambria Math"/>
              </w:rPr>
            </w:pPr>
            <w:r>
              <w:rPr>
                <w:rFonts w:ascii="Cambria Math" w:hAnsi="Cambria Math"/>
              </w:rPr>
              <w:t>17</w:t>
            </w:r>
            <w:r w:rsidR="00CA1704">
              <w:rPr>
                <w:rFonts w:ascii="Cambria Math" w:hAnsi="Cambria Math"/>
                <w:lang w:val="en-US"/>
              </w:rPr>
              <w:t xml:space="preserve"> HKD</w:t>
            </w:r>
          </w:p>
        </w:tc>
      </w:tr>
    </w:tbl>
    <w:p w:rsidR="00AE0BF4" w:rsidRPr="005B733E" w:rsidRDefault="00AE0BF4">
      <w:pPr>
        <w:rPr>
          <w:rFonts w:ascii="Cambria Math" w:hAnsi="Cambria Math"/>
        </w:rPr>
      </w:pPr>
    </w:p>
    <w:p w:rsidR="00834AAE" w:rsidRDefault="00834AAE">
      <w:pPr>
        <w:rPr>
          <w:rFonts w:ascii="Cambria Math" w:hAnsi="Cambria Math"/>
        </w:rPr>
      </w:pPr>
    </w:p>
    <w:p w:rsidR="00834AAE" w:rsidRDefault="00834AAE">
      <w:r>
        <w:rPr>
          <w:rFonts w:ascii="Cambria Math" w:hAnsi="Cambria Math"/>
        </w:rPr>
        <w:t xml:space="preserve"> </w:t>
      </w:r>
    </w:p>
    <w:p w:rsidR="00A00059" w:rsidRDefault="002026C5">
      <w:r>
        <w:t xml:space="preserve"> </w:t>
      </w:r>
      <w:r w:rsidR="00A00059">
        <w:t xml:space="preserve"> </w:t>
      </w:r>
    </w:p>
    <w:sectPr w:rsidR="00A0005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mbria Math">
    <w:panose1 w:val="02040503050406030204"/>
    <w:charset w:val="CC"/>
    <w:family w:val="roman"/>
    <w:pitch w:val="variable"/>
    <w:sig w:usb0="E00002FF" w:usb1="42002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6AB1"/>
    <w:rsid w:val="001D6AB1"/>
    <w:rsid w:val="002026C5"/>
    <w:rsid w:val="002D4186"/>
    <w:rsid w:val="002E2864"/>
    <w:rsid w:val="00402F9B"/>
    <w:rsid w:val="004214D6"/>
    <w:rsid w:val="00437AEB"/>
    <w:rsid w:val="00443548"/>
    <w:rsid w:val="00562FCB"/>
    <w:rsid w:val="00594222"/>
    <w:rsid w:val="005B733E"/>
    <w:rsid w:val="006F3165"/>
    <w:rsid w:val="00834AAE"/>
    <w:rsid w:val="0089316B"/>
    <w:rsid w:val="009126FA"/>
    <w:rsid w:val="00A00059"/>
    <w:rsid w:val="00A06C6D"/>
    <w:rsid w:val="00AE0BF4"/>
    <w:rsid w:val="00B81BB0"/>
    <w:rsid w:val="00B92F89"/>
    <w:rsid w:val="00BC02D4"/>
    <w:rsid w:val="00BD42D1"/>
    <w:rsid w:val="00C63C8C"/>
    <w:rsid w:val="00C82112"/>
    <w:rsid w:val="00C840BC"/>
    <w:rsid w:val="00CA1704"/>
    <w:rsid w:val="00D83096"/>
    <w:rsid w:val="00D849B4"/>
    <w:rsid w:val="00E44605"/>
    <w:rsid w:val="00E51F16"/>
    <w:rsid w:val="00E54D8E"/>
    <w:rsid w:val="00EA58ED"/>
    <w:rsid w:val="00F91358"/>
    <w:rsid w:val="00F96163"/>
    <w:rsid w:val="00FD4753"/>
    <w:rsid w:val="00FF41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3B66A2"/>
  <w15:chartTrackingRefBased/>
  <w15:docId w15:val="{ACFFB17E-850E-4F44-8315-A8B8F7B6C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a">
    <w:name w:val="Normal"/>
    <w:qFormat/>
  </w:style>
  <w:style w:type="paragraph" w:styleId="1">
    <w:name w:val="heading 1"/>
    <w:basedOn w:val="a"/>
    <w:next w:val="a"/>
    <w:link w:val="10"/>
    <w:uiPriority w:val="9"/>
    <w:qFormat/>
    <w:rsid w:val="009126F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9126F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E0B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rsid w:val="009126FA"/>
    <w:rPr>
      <w:rFonts w:asciiTheme="majorHAnsi" w:eastAsiaTheme="majorEastAsia" w:hAnsiTheme="majorHAnsi" w:cstheme="majorBidi"/>
      <w:color w:val="2E74B5" w:themeColor="accent1" w:themeShade="BF"/>
      <w:sz w:val="26"/>
      <w:szCs w:val="26"/>
    </w:rPr>
  </w:style>
  <w:style w:type="character" w:customStyle="1" w:styleId="10">
    <w:name w:val="Заголовок 1 Знак"/>
    <w:basedOn w:val="a0"/>
    <w:link w:val="1"/>
    <w:uiPriority w:val="9"/>
    <w:rsid w:val="009126FA"/>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210</TotalTime>
  <Pages>5</Pages>
  <Words>1384</Words>
  <Characters>7889</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Инна</dc:creator>
  <cp:keywords/>
  <dc:description/>
  <cp:lastModifiedBy>Инна</cp:lastModifiedBy>
  <cp:revision>31</cp:revision>
  <dcterms:created xsi:type="dcterms:W3CDTF">2015-06-06T14:28:00Z</dcterms:created>
  <dcterms:modified xsi:type="dcterms:W3CDTF">2016-03-14T20:21:00Z</dcterms:modified>
</cp:coreProperties>
</file>